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RICARDO ALONSO HERNÁNDEZ BUITRAGO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ROPSOHN THERAPEUTICS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13 No. 50 - 78</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4144950 / 3114859428</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2021ER11751.</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ROPSOHN THERAPEUTICS S.A.S identificada con NIT 860029022-9 y cuya sede inscrita fue la ubicada en Carrera 13 No. 50 - 78,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5"/>
              <w:gridCol w:w="2780"/>
              <w:gridCol w:w="2773"/>
              <w:tblGridChange w:id="0">
                <w:tblGrid>
                  <w:gridCol w:w="2715"/>
                  <w:gridCol w:w="2780"/>
                  <w:gridCol w:w="277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ROPSOHN THERAPEUTICS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595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Liliana Lesmes, asistió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embargo, se recomienda trabajar solo con energía activa consumida, al igual que verificar la variable que impacta el consumo energético ya que las toneladas de producto almacenado no representan una </w:t>
                  </w:r>
                  <w:r w:rsidDel="00000000" w:rsidR="00000000" w:rsidRPr="00000000">
                    <w:rPr>
                      <w:rFonts w:ascii="Arial" w:cs="Arial" w:eastAsia="Arial" w:hAnsi="Arial"/>
                      <w:sz w:val="22"/>
                      <w:szCs w:val="22"/>
                      <w:rtl w:val="0"/>
                    </w:rPr>
                    <w:t xml:space="preserve">correlación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fuerte con este consumo.</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24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Avanzar en la implementación del proyecto en la medida de los posible.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Recordar que los ahorros energéticos en los proyectos de generación son igual a  la cantidad de energía generada por el proyecto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variables </w:t>
                  </w:r>
                  <w:r w:rsidDel="00000000" w:rsidR="00000000" w:rsidRPr="00000000">
                    <w:rPr>
                      <w:rFonts w:ascii="Arial" w:cs="Arial" w:eastAsia="Arial" w:hAnsi="Arial"/>
                      <w:sz w:val="22"/>
                      <w:szCs w:val="22"/>
                      <w:rtl w:val="0"/>
                    </w:rPr>
                    <w:t xml:space="preserve">estandarizadas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como área, tecnología y gestión de </w:t>
                  </w:r>
                  <w:r w:rsidDel="00000000" w:rsidR="00000000" w:rsidRPr="00000000">
                    <w:rPr>
                      <w:rFonts w:ascii="Arial" w:cs="Arial" w:eastAsia="Arial" w:hAnsi="Arial"/>
                      <w:sz w:val="22"/>
                      <w:szCs w:val="22"/>
                      <w:rtl w:val="0"/>
                    </w:rPr>
                    <w:t xml:space="preserve">trámites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 permitirá tener cotizaciones sobre un proyecto del mismo tamaño. Se recomienda revisar otros proveedores del mercado y  realizar  la respectiva evaluación.</w:t>
                  </w:r>
                </w:p>
              </w:tc>
            </w:tr>
            <w:tr>
              <w:trPr>
                <w:cantSplit w:val="0"/>
                <w:trHeight w:val="11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24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evaluación y selección del proveedor; se cuenta con indicadores establecidos, respecto al tamaño del proyecto; finalmente, se verifica un atraso en el cumplimiento de actividades asociadas al cronograma del primer entregable..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94</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de Energía Solar Fotovoltaica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un proyecto de 36 KWp </w:t>
                  </w:r>
                  <w:r w:rsidDel="00000000" w:rsidR="00000000" w:rsidRPr="00000000">
                    <w:rPr>
                      <w:rFonts w:ascii="Arial" w:cs="Arial" w:eastAsia="Arial" w:hAnsi="Arial"/>
                      <w:sz w:val="22"/>
                      <w:szCs w:val="22"/>
                      <w:rtl w:val="0"/>
                    </w:rPr>
                    <w:t xml:space="preserve">de potencia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instalada, que supla el 100% del consumo energético de la organización ,</w:t>
                  </w:r>
                  <w:r w:rsidDel="00000000" w:rsidR="00000000" w:rsidRPr="00000000">
                    <w:rPr>
                      <w:rFonts w:ascii="Arial" w:cs="Arial" w:eastAsia="Arial" w:hAnsi="Arial"/>
                      <w:sz w:val="22"/>
                      <w:szCs w:val="22"/>
                      <w:rtl w:val="0"/>
                    </w:rPr>
                    <w:t xml:space="preserve">compuesta 50W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80 paneles solares monocristalinos  de 450 W  en un área de 184 m2.</w:t>
                  </w:r>
                </w:p>
              </w:tc>
            </w:tr>
          </w:tb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progresa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interpretación de  sus consumos energéticos con base en el total de las herramientas de caracterización energética trabajadas y presentó avances en la formulación de un proyecto de generación de energía a partir de tecnología  solar fotovoltaica. Se recomienda avanzar en la evaluación </w:t>
            </w:r>
            <w:r w:rsidDel="00000000" w:rsidR="00000000" w:rsidRPr="00000000">
              <w:rPr>
                <w:rFonts w:ascii="Arial" w:cs="Arial" w:eastAsia="Arial" w:hAnsi="Arial"/>
                <w:sz w:val="22"/>
                <w:szCs w:val="22"/>
                <w:rtl w:val="0"/>
              </w:rPr>
              <w:t xml:space="preserve">técnico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-financiera del proyecto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organización y  profundizar en la formulación de los  beneficios energéticos,  económicos y ambientales como indicadores del proyecto cuándo se encuentre en fase de operación.</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2">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bMfcbwQoOnx9LVvyOMZFOuudRQ==">AMUW2mWyLRCzwmHZI1h0qIcykvwpcP9A5ejFDgsqBlL+KIS6XWA6ZXy1DU17s1cZ7syoMsNb0accxZoPddyR4oToRvMFGfBjia8ycPL70x15pdqgclx2ZIA=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2021-11-26T14:18:00Z</dcterms:created>
  <dc:creator>Jorge Manrique</dc:creator>
</cp:coreProperties>
</file>